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2E6" w:rsidRPr="00A10AC7" w:rsidRDefault="00C152E6" w:rsidP="00C152E6">
      <w:pPr>
        <w:spacing w:after="0" w:line="360" w:lineRule="auto"/>
        <w:rPr>
          <w:rFonts w:ascii="Times New Roman" w:eastAsia="Times New Roman" w:hAnsi="Times New Roman" w:cs="Times New Roman"/>
          <w:sz w:val="14"/>
          <w:szCs w:val="14"/>
          <w:rtl/>
          <w:lang w:bidi="ar-DZ"/>
        </w:rPr>
      </w:pPr>
    </w:p>
    <w:p w:rsidR="00170F8F" w:rsidRPr="0095060B" w:rsidRDefault="00170F8F" w:rsidP="008922F6">
      <w:pPr>
        <w:jc w:val="center"/>
        <w:rPr>
          <w:rFonts w:asciiTheme="majorBidi" w:hAnsiTheme="majorBidi" w:cstheme="majorBidi"/>
          <w:noProof/>
          <w:sz w:val="24"/>
          <w:szCs w:val="24"/>
          <w:lang w:eastAsia="fr-F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63360" behindDoc="0" locked="0" layoutInCell="1" allowOverlap="1" wp14:anchorId="75C33917" wp14:editId="5D7215B9">
            <wp:simplePos x="0" y="0"/>
            <wp:positionH relativeFrom="column">
              <wp:posOffset>5145452</wp:posOffset>
            </wp:positionH>
            <wp:positionV relativeFrom="paragraph">
              <wp:posOffset>166358</wp:posOffset>
            </wp:positionV>
            <wp:extent cx="1057638" cy="577970"/>
            <wp:effectExtent l="0" t="0" r="9525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638" cy="57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4BA3"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 xml:space="preserve">                      </w:t>
      </w:r>
      <w:r w:rsidR="00965789"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 xml:space="preserve"> </w:t>
      </w:r>
      <w:r w:rsidR="005C4BA3"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 xml:space="preserve">                    </w:t>
      </w:r>
      <w:r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>Examen</w:t>
      </w:r>
      <w:r w:rsidRPr="00D64A9C"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>:</w:t>
      </w:r>
      <w:r w:rsidRPr="00D64A9C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Qualité de l’énergie électrique</w:t>
      </w:r>
      <w:r w:rsidR="005C4BA3" w:rsidRPr="005C4BA3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="005C4BA3">
        <w:rPr>
          <w:rFonts w:asciiTheme="majorBidi" w:hAnsiTheme="majorBidi" w:cstheme="majorBidi"/>
          <w:b/>
          <w:bCs/>
          <w:sz w:val="24"/>
          <w:szCs w:val="24"/>
        </w:rPr>
        <w:t xml:space="preserve">              </w:t>
      </w:r>
      <w:r w:rsidR="005C4BA3" w:rsidRPr="005C4BA3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 w:rsidR="00965789" w:rsidRPr="00965789">
        <w:rPr>
          <w:rFonts w:asciiTheme="majorBidi" w:hAnsiTheme="majorBidi" w:cstheme="majorBidi"/>
          <w:sz w:val="24"/>
          <w:szCs w:val="24"/>
        </w:rPr>
        <w:t>A</w:t>
      </w:r>
      <w:r w:rsidR="00965789">
        <w:rPr>
          <w:rFonts w:asciiTheme="majorBidi" w:hAnsiTheme="majorBidi" w:cstheme="majorBidi"/>
          <w:sz w:val="20"/>
          <w:szCs w:val="20"/>
        </w:rPr>
        <w:t>:</w:t>
      </w:r>
      <w:r w:rsidR="00F775EA">
        <w:rPr>
          <w:rFonts w:asciiTheme="majorBidi" w:hAnsiTheme="majorBidi" w:cstheme="majorBidi"/>
          <w:sz w:val="20"/>
          <w:szCs w:val="20"/>
        </w:rPr>
        <w:t xml:space="preserve"> 05</w:t>
      </w:r>
      <w:r w:rsidR="00965789" w:rsidRPr="005C4BA3">
        <w:rPr>
          <w:rFonts w:asciiTheme="majorBidi" w:hAnsiTheme="majorBidi" w:cstheme="majorBidi"/>
          <w:sz w:val="20"/>
          <w:szCs w:val="20"/>
        </w:rPr>
        <w:t>.</w:t>
      </w:r>
      <w:r w:rsidR="00F775EA">
        <w:rPr>
          <w:rFonts w:asciiTheme="majorBidi" w:hAnsiTheme="majorBidi" w:cstheme="majorBidi"/>
          <w:sz w:val="20"/>
          <w:szCs w:val="20"/>
        </w:rPr>
        <w:t>1</w:t>
      </w:r>
      <w:r w:rsidR="00965789" w:rsidRPr="005C4BA3">
        <w:rPr>
          <w:rFonts w:asciiTheme="majorBidi" w:hAnsiTheme="majorBidi" w:cstheme="majorBidi"/>
          <w:sz w:val="20"/>
          <w:szCs w:val="20"/>
        </w:rPr>
        <w:t>0.20</w:t>
      </w:r>
      <w:r w:rsidR="00F775EA">
        <w:rPr>
          <w:rFonts w:asciiTheme="majorBidi" w:hAnsiTheme="majorBidi" w:cstheme="majorBidi"/>
          <w:sz w:val="20"/>
          <w:szCs w:val="20"/>
        </w:rPr>
        <w:t>20</w:t>
      </w:r>
    </w:p>
    <w:p w:rsidR="00C152E6" w:rsidRPr="0095060B" w:rsidRDefault="00C152E6" w:rsidP="00170F8F">
      <w:pPr>
        <w:spacing w:after="0" w:line="360" w:lineRule="auto"/>
        <w:rPr>
          <w:rFonts w:asciiTheme="majorBidi" w:hAnsiTheme="majorBidi" w:cstheme="majorBidi"/>
          <w:noProof/>
          <w:sz w:val="24"/>
          <w:szCs w:val="24"/>
          <w:lang w:eastAsia="fr-FR"/>
        </w:rPr>
      </w:pP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Nom : </w:t>
      </w:r>
      <w:r w:rsidR="00A36AA1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</w:t>
      </w: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                   </w:t>
      </w:r>
      <w:r w:rsidR="00170F8F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</w:t>
      </w: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Prnom:        </w:t>
      </w:r>
      <w:r w:rsidR="00A36AA1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</w:t>
      </w: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             </w:t>
      </w:r>
      <w:r w:rsidR="00142CDA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  </w:t>
      </w:r>
      <w:r w:rsidR="00A36AA1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</w:t>
      </w:r>
      <w:r w:rsidR="00142CDA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</w:t>
      </w:r>
    </w:p>
    <w:p w:rsidR="00C152E6" w:rsidRPr="008922F6" w:rsidRDefault="00C152E6" w:rsidP="00C152E6">
      <w:pPr>
        <w:spacing w:after="0" w:line="360" w:lineRule="auto"/>
        <w:rPr>
          <w:rFonts w:asciiTheme="majorBidi" w:hAnsiTheme="majorBidi" w:cstheme="majorBidi"/>
          <w:noProof/>
          <w:sz w:val="14"/>
          <w:szCs w:val="14"/>
          <w:lang w:eastAsia="fr-FR"/>
        </w:rPr>
      </w:pPr>
    </w:p>
    <w:p w:rsidR="00B6474B" w:rsidRPr="002728F6" w:rsidRDefault="002728F6" w:rsidP="00D26E3B">
      <w:pPr>
        <w:spacing w:after="120" w:line="360" w:lineRule="auto"/>
        <w:rPr>
          <w:rFonts w:asciiTheme="majorBidi" w:hAnsiTheme="majorBidi" w:cstheme="majorBidi"/>
          <w:b/>
          <w:bCs/>
        </w:rPr>
      </w:pPr>
      <w:r w:rsidRPr="002728F6">
        <w:rPr>
          <w:rFonts w:asciiTheme="majorBidi" w:hAnsiTheme="majorBidi" w:cstheme="majorBidi"/>
          <w:b/>
          <w:bCs/>
        </w:rPr>
        <w:t>II</w:t>
      </w:r>
      <w:r>
        <w:rPr>
          <w:rFonts w:asciiTheme="majorBidi" w:hAnsiTheme="majorBidi" w:cstheme="majorBidi"/>
          <w:b/>
          <w:bCs/>
        </w:rPr>
        <w:t>.</w:t>
      </w:r>
      <w:r w:rsidRPr="002728F6">
        <w:rPr>
          <w:rFonts w:asciiTheme="majorBidi" w:hAnsiTheme="majorBidi" w:cstheme="majorBidi"/>
          <w:b/>
          <w:bCs/>
        </w:rPr>
        <w:t xml:space="preserve"> </w:t>
      </w:r>
      <w:r w:rsidR="000A6501" w:rsidRPr="002728F6">
        <w:rPr>
          <w:rFonts w:asciiTheme="majorBidi" w:hAnsiTheme="majorBidi" w:cstheme="majorBidi"/>
          <w:b/>
          <w:bCs/>
        </w:rPr>
        <w:t>Répondez aux questions suivantes par Oui</w:t>
      </w:r>
      <w:r w:rsidR="00310BCB" w:rsidRPr="002728F6">
        <w:rPr>
          <w:rFonts w:asciiTheme="majorBidi" w:hAnsiTheme="majorBidi" w:cstheme="majorBidi"/>
          <w:b/>
          <w:bCs/>
        </w:rPr>
        <w:t xml:space="preserve">  ou </w:t>
      </w:r>
      <w:r w:rsidR="000A6501" w:rsidRPr="002728F6">
        <w:rPr>
          <w:rFonts w:asciiTheme="majorBidi" w:hAnsiTheme="majorBidi" w:cstheme="majorBidi"/>
          <w:b/>
          <w:bCs/>
        </w:rPr>
        <w:t xml:space="preserve"> Non.</w:t>
      </w:r>
    </w:p>
    <w:tbl>
      <w:tblPr>
        <w:tblStyle w:val="Grilledutableau"/>
        <w:tblW w:w="9874" w:type="dxa"/>
        <w:jc w:val="center"/>
        <w:tblInd w:w="-331" w:type="dxa"/>
        <w:tblLook w:val="04A0" w:firstRow="1" w:lastRow="0" w:firstColumn="1" w:lastColumn="0" w:noHBand="0" w:noVBand="1"/>
      </w:tblPr>
      <w:tblGrid>
        <w:gridCol w:w="572"/>
        <w:gridCol w:w="8362"/>
        <w:gridCol w:w="940"/>
      </w:tblGrid>
      <w:tr w:rsidR="00047537" w:rsidTr="00A10AC7">
        <w:trPr>
          <w:jc w:val="center"/>
        </w:trPr>
        <w:tc>
          <w:tcPr>
            <w:tcW w:w="572" w:type="dxa"/>
            <w:vAlign w:val="center"/>
          </w:tcPr>
          <w:p w:rsidR="002E59FA" w:rsidRPr="000A6501" w:rsidRDefault="002E59FA" w:rsidP="000A650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501">
              <w:rPr>
                <w:rFonts w:asciiTheme="majorBidi" w:hAnsiTheme="majorBidi" w:cstheme="majorBidi"/>
                <w:b/>
                <w:bCs/>
              </w:rPr>
              <w:t>N</w:t>
            </w:r>
          </w:p>
        </w:tc>
        <w:tc>
          <w:tcPr>
            <w:tcW w:w="8362" w:type="dxa"/>
            <w:vAlign w:val="center"/>
          </w:tcPr>
          <w:p w:rsidR="002E59FA" w:rsidRPr="000A6501" w:rsidRDefault="000A6501" w:rsidP="000A650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65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Questions</w:t>
            </w:r>
          </w:p>
        </w:tc>
        <w:tc>
          <w:tcPr>
            <w:tcW w:w="940" w:type="dxa"/>
          </w:tcPr>
          <w:p w:rsidR="00047537" w:rsidRPr="000A6501" w:rsidRDefault="002E59FA" w:rsidP="00047537">
            <w:pPr>
              <w:jc w:val="center"/>
              <w:rPr>
                <w:b/>
                <w:bCs/>
                <w:sz w:val="20"/>
                <w:szCs w:val="20"/>
              </w:rPr>
            </w:pPr>
            <w:r w:rsidRPr="000A6501">
              <w:rPr>
                <w:b/>
                <w:bCs/>
                <w:sz w:val="20"/>
                <w:szCs w:val="20"/>
              </w:rPr>
              <w:t>Oui</w:t>
            </w:r>
            <w:r w:rsidR="00047537" w:rsidRPr="000A6501">
              <w:rPr>
                <w:b/>
                <w:bCs/>
                <w:sz w:val="20"/>
                <w:szCs w:val="20"/>
              </w:rPr>
              <w:t xml:space="preserve"> </w:t>
            </w:r>
            <w:r w:rsidRPr="000A6501">
              <w:rPr>
                <w:sz w:val="20"/>
                <w:szCs w:val="20"/>
              </w:rPr>
              <w:t>ou</w:t>
            </w:r>
            <w:r w:rsidRPr="000A6501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59FA" w:rsidRPr="000A6501" w:rsidRDefault="002E59FA" w:rsidP="00047537">
            <w:pPr>
              <w:jc w:val="center"/>
              <w:rPr>
                <w:b/>
                <w:bCs/>
              </w:rPr>
            </w:pPr>
            <w:r w:rsidRPr="000A6501">
              <w:rPr>
                <w:b/>
                <w:bCs/>
                <w:sz w:val="20"/>
                <w:szCs w:val="20"/>
              </w:rPr>
              <w:t>Non</w:t>
            </w:r>
          </w:p>
        </w:tc>
      </w:tr>
      <w:tr w:rsidR="003A6145" w:rsidTr="00A10AC7">
        <w:trPr>
          <w:jc w:val="center"/>
        </w:trPr>
        <w:tc>
          <w:tcPr>
            <w:tcW w:w="572" w:type="dxa"/>
            <w:vAlign w:val="center"/>
          </w:tcPr>
          <w:p w:rsidR="003A6145" w:rsidRPr="000C199C" w:rsidRDefault="003A6145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3A6145" w:rsidRPr="0094311C" w:rsidRDefault="00487BCB" w:rsidP="008922F6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</w:rPr>
            </w:pPr>
            <w:r w:rsidRPr="00092BF8">
              <w:rPr>
                <w:rFonts w:ascii="Times New Roman" w:hAnsi="Times New Roman" w:cs="Times New Roman"/>
              </w:rPr>
              <w:t>La pollution harmonique générée est ainsi plus ou moins importante suivant la puissance de la charge pollueuse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0" w:type="dxa"/>
            <w:vAlign w:val="center"/>
          </w:tcPr>
          <w:p w:rsidR="003A6145" w:rsidRPr="00FE7A24" w:rsidRDefault="00231526" w:rsidP="00231526">
            <w:pPr>
              <w:jc w:val="center"/>
              <w:rPr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FE7A24" w:rsidTr="00A10AC7">
        <w:trPr>
          <w:jc w:val="center"/>
        </w:trPr>
        <w:tc>
          <w:tcPr>
            <w:tcW w:w="572" w:type="dxa"/>
            <w:vAlign w:val="center"/>
          </w:tcPr>
          <w:p w:rsidR="00FE7A24" w:rsidRPr="000C199C" w:rsidRDefault="00FE7A24" w:rsidP="00722A5D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FE7A24" w:rsidRPr="00A10AC7" w:rsidRDefault="00FE7A24" w:rsidP="00722A5D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La continuité d’alimentation recouvre les perturbations liées à la forme de l’onde de tension délivrée par le réseau,</w:t>
            </w:r>
          </w:p>
        </w:tc>
        <w:tc>
          <w:tcPr>
            <w:tcW w:w="940" w:type="dxa"/>
            <w:vAlign w:val="center"/>
          </w:tcPr>
          <w:p w:rsidR="00FE7A24" w:rsidRPr="00FE7A24" w:rsidRDefault="00FE7A24" w:rsidP="00722A5D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0C199C" w:rsidTr="00A10AC7">
        <w:trPr>
          <w:jc w:val="center"/>
        </w:trPr>
        <w:tc>
          <w:tcPr>
            <w:tcW w:w="572" w:type="dxa"/>
            <w:vAlign w:val="center"/>
          </w:tcPr>
          <w:p w:rsidR="000C199C" w:rsidRPr="000C199C" w:rsidRDefault="000C199C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0C199C" w:rsidRPr="00A10AC7" w:rsidRDefault="00F775EA" w:rsidP="00D26E3B">
            <w:pPr>
              <w:spacing w:before="120" w:after="120"/>
              <w:jc w:val="both"/>
              <w:rPr>
                <w:rFonts w:asciiTheme="majorBidi" w:hAnsiTheme="majorBidi" w:cstheme="majorBidi"/>
              </w:rPr>
            </w:pPr>
            <w:r w:rsidRPr="00A10AC7">
              <w:rPr>
                <w:rFonts w:asciiTheme="majorBidi" w:hAnsiTheme="majorBidi" w:cstheme="majorBidi"/>
              </w:rPr>
              <w:t>Les condensateurs sont particulièrement sensibles à la circulation des courants harmoniques du fait que leur impédance décroît proportionnellement au rang élevé des harmoniques</w:t>
            </w:r>
            <w:r w:rsidR="00D26E3B" w:rsidRPr="00A10AC7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40" w:type="dxa"/>
            <w:vAlign w:val="center"/>
          </w:tcPr>
          <w:p w:rsidR="000C199C" w:rsidRPr="000A6501" w:rsidRDefault="00FE7A24" w:rsidP="00231526">
            <w:pPr>
              <w:jc w:val="center"/>
              <w:rPr>
                <w:b/>
                <w:bCs/>
                <w:sz w:val="20"/>
                <w:szCs w:val="20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3A6145" w:rsidTr="00A10AC7">
        <w:trPr>
          <w:jc w:val="center"/>
        </w:trPr>
        <w:tc>
          <w:tcPr>
            <w:tcW w:w="572" w:type="dxa"/>
            <w:vAlign w:val="center"/>
          </w:tcPr>
          <w:p w:rsidR="003A6145" w:rsidRPr="000C199C" w:rsidRDefault="003A6145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3A6145" w:rsidRPr="0094311C" w:rsidRDefault="003A6145" w:rsidP="00F775EA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</w:rPr>
            </w:pPr>
            <w:r w:rsidRPr="003064C1">
              <w:rPr>
                <w:rFonts w:asciiTheme="majorBidi" w:hAnsiTheme="majorBidi" w:cstheme="majorBidi"/>
              </w:rPr>
              <w:t>Les signaux déformés sont la somme de signaux de fréquences différentes</w:t>
            </w:r>
            <w:r w:rsidR="00487BCB">
              <w:rPr>
                <w:rFonts w:asciiTheme="majorBidi" w:hAnsiTheme="majorBidi" w:cstheme="majorBidi"/>
              </w:rPr>
              <w:t xml:space="preserve"> </w:t>
            </w:r>
            <w:r w:rsidR="00487BCB">
              <w:rPr>
                <w:rStyle w:val="fontstyle01"/>
              </w:rPr>
              <w:t>et d’amplitudes </w:t>
            </w:r>
            <w:r w:rsidR="00487BCB" w:rsidRPr="00487BCB">
              <w:rPr>
                <w:rStyle w:val="fontstyle01"/>
              </w:rPr>
              <w:t>égales</w:t>
            </w:r>
            <w:r w:rsidRPr="003064C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40" w:type="dxa"/>
            <w:vAlign w:val="center"/>
          </w:tcPr>
          <w:p w:rsidR="003A6145" w:rsidRDefault="000512ED" w:rsidP="00231526">
            <w:pPr>
              <w:jc w:val="center"/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C4D8F" w:rsidTr="00A10AC7">
        <w:trPr>
          <w:jc w:val="center"/>
        </w:trPr>
        <w:tc>
          <w:tcPr>
            <w:tcW w:w="572" w:type="dxa"/>
            <w:vAlign w:val="center"/>
          </w:tcPr>
          <w:p w:rsidR="008C4D8F" w:rsidRPr="000C199C" w:rsidRDefault="008C4D8F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C4D8F" w:rsidRPr="0094311C" w:rsidRDefault="008C4D8F" w:rsidP="00F775EA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3064C1">
              <w:rPr>
                <w:rFonts w:asciiTheme="majorBidi" w:hAnsiTheme="majorBidi" w:cstheme="majorBidi"/>
              </w:rPr>
              <w:t xml:space="preserve">Le rang harmonique </w:t>
            </w:r>
            <w:r>
              <w:rPr>
                <w:rFonts w:asciiTheme="majorBidi" w:hAnsiTheme="majorBidi" w:cstheme="majorBidi"/>
              </w:rPr>
              <w:t>est</w:t>
            </w:r>
            <w:r w:rsidRPr="003064C1">
              <w:rPr>
                <w:rFonts w:asciiTheme="majorBidi" w:hAnsiTheme="majorBidi" w:cstheme="majorBidi"/>
              </w:rPr>
              <w:t xml:space="preserve"> le rapport entre la fréquence de l’harmonique considéré et la fréquence fondamentale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40" w:type="dxa"/>
            <w:vAlign w:val="center"/>
          </w:tcPr>
          <w:p w:rsidR="008C4D8F" w:rsidRPr="00FE7A24" w:rsidRDefault="008C4D8F" w:rsidP="00231526">
            <w:pPr>
              <w:jc w:val="center"/>
              <w:rPr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C4D8F" w:rsidTr="00A10AC7">
        <w:trPr>
          <w:jc w:val="center"/>
        </w:trPr>
        <w:tc>
          <w:tcPr>
            <w:tcW w:w="572" w:type="dxa"/>
            <w:vAlign w:val="center"/>
          </w:tcPr>
          <w:p w:rsidR="008C4D8F" w:rsidRPr="000C199C" w:rsidRDefault="008C4D8F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C4D8F" w:rsidRPr="0094311C" w:rsidRDefault="008C4D8F" w:rsidP="00F775EA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</w:rPr>
            </w:pPr>
            <w:r w:rsidRPr="0094311C">
              <w:rPr>
                <w:rFonts w:asciiTheme="majorBidi" w:hAnsiTheme="majorBidi" w:cstheme="majorBidi"/>
              </w:rPr>
              <w:t xml:space="preserve">Le filtre amorti est constitué d’une structure identique au filtre résonant, avec en supplément, une résistance R </w:t>
            </w:r>
            <w:r w:rsidRPr="00A10AC7">
              <w:rPr>
                <w:rFonts w:asciiTheme="majorBidi" w:hAnsiTheme="majorBidi" w:cstheme="majorBidi"/>
              </w:rPr>
              <w:t>branchée en parallèle sur l’inductance.</w:t>
            </w:r>
          </w:p>
        </w:tc>
        <w:tc>
          <w:tcPr>
            <w:tcW w:w="940" w:type="dxa"/>
            <w:vAlign w:val="center"/>
          </w:tcPr>
          <w:p w:rsidR="008C4D8F" w:rsidRPr="00FE7A24" w:rsidRDefault="008C4D8F" w:rsidP="00231526">
            <w:pPr>
              <w:jc w:val="center"/>
              <w:rPr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C4D8F" w:rsidTr="00A10AC7">
        <w:trPr>
          <w:jc w:val="center"/>
        </w:trPr>
        <w:tc>
          <w:tcPr>
            <w:tcW w:w="572" w:type="dxa"/>
            <w:vAlign w:val="center"/>
          </w:tcPr>
          <w:p w:rsidR="008C4D8F" w:rsidRPr="000C199C" w:rsidRDefault="008C4D8F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C4D8F" w:rsidRPr="00092BF8" w:rsidRDefault="008C4D8F" w:rsidP="00F775EA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92BF8">
              <w:rPr>
                <w:rFonts w:ascii="Times New Roman" w:hAnsi="Times New Roman" w:cs="Times New Roman"/>
              </w:rPr>
              <w:t>Les surtensions de durée inférieure à 1 ms sont appelées surtensions transitoires.</w:t>
            </w:r>
          </w:p>
        </w:tc>
        <w:tc>
          <w:tcPr>
            <w:tcW w:w="940" w:type="dxa"/>
            <w:vAlign w:val="center"/>
          </w:tcPr>
          <w:p w:rsidR="008C4D8F" w:rsidRPr="00FE7A24" w:rsidRDefault="008C4D8F" w:rsidP="00231526">
            <w:pPr>
              <w:jc w:val="center"/>
              <w:rPr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A10AC7" w:rsidTr="00A10AC7">
        <w:trPr>
          <w:trHeight w:val="64"/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092BF8" w:rsidRDefault="00A10AC7" w:rsidP="00722A5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94311C">
              <w:rPr>
                <w:rFonts w:asciiTheme="majorBidi" w:hAnsiTheme="majorBidi" w:cstheme="majorBidi"/>
              </w:rPr>
              <w:t xml:space="preserve">Le taux global d’harmonique en tension ne doit pas dépasser </w:t>
            </w:r>
            <w:r>
              <w:rPr>
                <w:rFonts w:asciiTheme="majorBidi" w:hAnsiTheme="majorBidi" w:cstheme="majorBidi"/>
              </w:rPr>
              <w:t>8</w:t>
            </w:r>
            <w:r w:rsidRPr="0094311C">
              <w:rPr>
                <w:rFonts w:asciiTheme="majorBidi" w:hAnsiTheme="majorBidi" w:cstheme="majorBidi"/>
              </w:rPr>
              <w:t xml:space="preserve"> % dans une installation de distribution basse tension.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231526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8C4D8F" w:rsidRDefault="00A10AC7" w:rsidP="00FE7A24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FE7A24">
              <w:rPr>
                <w:rFonts w:asciiTheme="majorBidi" w:hAnsiTheme="majorBidi" w:cstheme="majorBidi"/>
              </w:rPr>
              <w:t>Le risque de résonance pouvant se produire, en présence de</w:t>
            </w:r>
            <w:r>
              <w:rPr>
                <w:rFonts w:asciiTheme="majorBidi" w:hAnsiTheme="majorBidi" w:cstheme="majorBidi"/>
              </w:rPr>
              <w:t xml:space="preserve"> l’association de condensateurs, résistances </w:t>
            </w:r>
            <w:r w:rsidRPr="00FE7A24">
              <w:rPr>
                <w:rFonts w:asciiTheme="majorBidi" w:hAnsiTheme="majorBidi" w:cstheme="majorBidi"/>
              </w:rPr>
              <w:t xml:space="preserve">et </w:t>
            </w:r>
            <w:r>
              <w:rPr>
                <w:rFonts w:asciiTheme="majorBidi" w:hAnsiTheme="majorBidi" w:cstheme="majorBidi"/>
              </w:rPr>
              <w:t>d’inductances.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231526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A10AC7" w:rsidRDefault="00A10AC7" w:rsidP="00F775EA">
            <w:pPr>
              <w:spacing w:before="120" w:after="120"/>
              <w:jc w:val="both"/>
              <w:rPr>
                <w:rFonts w:asciiTheme="majorBidi" w:hAnsiTheme="majorBidi" w:cstheme="majorBidi"/>
              </w:rPr>
            </w:pPr>
            <w:r w:rsidRPr="00A10AC7">
              <w:rPr>
                <w:rFonts w:asciiTheme="majorBidi" w:hAnsiTheme="majorBidi" w:cstheme="majorBidi"/>
              </w:rPr>
              <w:t>Un creux de tension est une chute de l’amplitude de la tension en dessous du seuil inférieur de la plage nominale.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231526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A10AC7" w:rsidRDefault="00A10AC7" w:rsidP="00FE7A24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La résonance série</w:t>
            </w:r>
            <w:r w:rsidRPr="00A10AC7">
              <w:t xml:space="preserve"> </w:t>
            </w:r>
            <w:r w:rsidRPr="00A10AC7">
              <w:rPr>
                <w:rFonts w:ascii="Times New Roman" w:hAnsi="Times New Roman" w:cs="Times New Roman"/>
              </w:rPr>
              <w:t xml:space="preserve">s’exprime par la relation suivante : </w:t>
            </w:r>
            <w:r w:rsidRPr="00A10AC7">
              <w:rPr>
                <w:rFonts w:asciiTheme="majorBidi" w:hAnsiTheme="majorBidi" w:cstheme="majorBidi"/>
                <w:position w:val="-26"/>
              </w:rPr>
              <w:object w:dxaOrig="12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.85pt;height:31.25pt" o:ole="">
                  <v:imagedata r:id="rId9" o:title=""/>
                </v:shape>
                <o:OLEObject Type="Embed" ProgID="Equation.DSMT4" ShapeID="_x0000_i1025" DrawAspect="Content" ObjectID="_1663993818" r:id="rId10"/>
              </w:object>
            </w:r>
          </w:p>
        </w:tc>
        <w:tc>
          <w:tcPr>
            <w:tcW w:w="940" w:type="dxa"/>
            <w:vAlign w:val="center"/>
          </w:tcPr>
          <w:p w:rsidR="00A10AC7" w:rsidRDefault="00A10AC7" w:rsidP="00231526">
            <w:pPr>
              <w:jc w:val="center"/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A10AC7" w:rsidRDefault="00A10AC7" w:rsidP="00AB5C4F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Les charges non linéaires produisent des courants déformés dont l’allure sinusoïdale.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F26F9E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A10AC7" w:rsidRDefault="00A10AC7" w:rsidP="00AB5C4F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 xml:space="preserve">Les appareils numériques dits RMS réalisent la mesure efficace d’un signal quelle que soit sa forme, sinusoïdal ou bien déformé. 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F26F9E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722A5D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A10AC7" w:rsidRDefault="00627159" w:rsidP="00722A5D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627159">
              <w:rPr>
                <w:rFonts w:ascii="Times New Roman" w:hAnsi="Times New Roman" w:cs="Times New Roman"/>
              </w:rPr>
              <w:t xml:space="preserve">La qualité de l'onde de tension </w:t>
            </w:r>
            <w:r w:rsidR="00A10AC7" w:rsidRPr="00A10AC7">
              <w:rPr>
                <w:rFonts w:asciiTheme="majorBidi" w:hAnsiTheme="majorBidi" w:cstheme="majorBidi"/>
              </w:rPr>
              <w:t>recouvre les coupures, ou interruptions, subies par les utilisateurs.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722A5D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A10AC7" w:rsidTr="00A10AC7">
        <w:trPr>
          <w:jc w:val="center"/>
        </w:trPr>
        <w:tc>
          <w:tcPr>
            <w:tcW w:w="572" w:type="dxa"/>
            <w:vAlign w:val="center"/>
          </w:tcPr>
          <w:p w:rsidR="00A10AC7" w:rsidRPr="000C199C" w:rsidRDefault="00A10AC7" w:rsidP="000C199C">
            <w:pPr>
              <w:pStyle w:val="Paragraphedeliste"/>
              <w:numPr>
                <w:ilvl w:val="0"/>
                <w:numId w:val="3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A10AC7" w:rsidRPr="00A10AC7" w:rsidRDefault="00A10AC7" w:rsidP="00AB5C4F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Le taux de distorsion harmonique global  THD  est égal au rapport de la valeur efficace de l’ensemble des courants harmoniques par rapport à la valeur du courant efficace du fondamental.</w:t>
            </w:r>
          </w:p>
        </w:tc>
        <w:tc>
          <w:tcPr>
            <w:tcW w:w="940" w:type="dxa"/>
            <w:vAlign w:val="center"/>
          </w:tcPr>
          <w:p w:rsidR="00A10AC7" w:rsidRPr="00FE7A24" w:rsidRDefault="00A10AC7" w:rsidP="00F26F9E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</w:tbl>
    <w:p w:rsidR="00C152E6" w:rsidRDefault="00C152E6" w:rsidP="00A10AC7"/>
    <w:p w:rsidR="0081280C" w:rsidRPr="00A10AC7" w:rsidRDefault="0081280C" w:rsidP="0081280C">
      <w:pPr>
        <w:spacing w:after="0" w:line="360" w:lineRule="auto"/>
        <w:rPr>
          <w:rFonts w:ascii="Times New Roman" w:eastAsia="Times New Roman" w:hAnsi="Times New Roman" w:cs="Times New Roman"/>
          <w:sz w:val="14"/>
          <w:szCs w:val="14"/>
          <w:rtl/>
          <w:lang w:bidi="ar-DZ"/>
        </w:rPr>
      </w:pPr>
    </w:p>
    <w:p w:rsidR="0081280C" w:rsidRPr="0095060B" w:rsidRDefault="0081280C" w:rsidP="0081280C">
      <w:pPr>
        <w:jc w:val="center"/>
        <w:rPr>
          <w:rFonts w:asciiTheme="majorBidi" w:hAnsiTheme="majorBidi" w:cstheme="majorBidi"/>
          <w:noProof/>
          <w:sz w:val="24"/>
          <w:szCs w:val="24"/>
          <w:lang w:eastAsia="fr-F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fr-FR"/>
        </w:rPr>
        <w:drawing>
          <wp:anchor distT="0" distB="0" distL="114300" distR="114300" simplePos="0" relativeHeight="251665408" behindDoc="0" locked="0" layoutInCell="1" allowOverlap="1" wp14:anchorId="18D10921" wp14:editId="2657E85E">
            <wp:simplePos x="0" y="0"/>
            <wp:positionH relativeFrom="column">
              <wp:posOffset>5145452</wp:posOffset>
            </wp:positionH>
            <wp:positionV relativeFrom="paragraph">
              <wp:posOffset>166358</wp:posOffset>
            </wp:positionV>
            <wp:extent cx="1057638" cy="577970"/>
            <wp:effectExtent l="0" t="0" r="952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638" cy="57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 xml:space="preserve">                                           Examen</w:t>
      </w:r>
      <w:r w:rsidRPr="00D64A9C">
        <w:rPr>
          <w:rFonts w:asciiTheme="majorBidi" w:eastAsia="Calibri" w:hAnsiTheme="majorBidi" w:cstheme="majorBidi"/>
          <w:b/>
          <w:bCs/>
          <w:noProof/>
          <w:sz w:val="24"/>
          <w:szCs w:val="24"/>
          <w:lang w:eastAsia="fr-FR"/>
        </w:rPr>
        <w:t>:</w:t>
      </w:r>
      <w:r w:rsidRPr="00D64A9C">
        <w:rPr>
          <w:rFonts w:asciiTheme="majorBidi" w:eastAsia="Calibr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Qualité de l’énergie électrique</w:t>
      </w:r>
      <w:r w:rsidRPr="005C4BA3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</w:t>
      </w:r>
      <w:r w:rsidRPr="005C4BA3">
        <w:rPr>
          <w:rFonts w:asciiTheme="majorBidi" w:hAnsiTheme="majorBidi" w:cstheme="majorBidi"/>
          <w:b/>
          <w:bCs/>
          <w:sz w:val="24"/>
          <w:szCs w:val="24"/>
        </w:rPr>
        <w:t xml:space="preserve">        </w:t>
      </w:r>
      <w:r>
        <w:rPr>
          <w:rFonts w:asciiTheme="majorBidi" w:hAnsiTheme="majorBidi" w:cstheme="majorBidi"/>
          <w:sz w:val="24"/>
          <w:szCs w:val="24"/>
        </w:rPr>
        <w:t>B</w:t>
      </w:r>
      <w:r>
        <w:rPr>
          <w:rFonts w:asciiTheme="majorBidi" w:hAnsiTheme="majorBidi" w:cstheme="majorBidi"/>
          <w:sz w:val="20"/>
          <w:szCs w:val="20"/>
        </w:rPr>
        <w:t>: 05</w:t>
      </w:r>
      <w:r w:rsidRPr="005C4BA3">
        <w:rPr>
          <w:rFonts w:asciiTheme="majorBidi" w:hAnsiTheme="majorBidi" w:cstheme="majorBidi"/>
          <w:sz w:val="20"/>
          <w:szCs w:val="20"/>
        </w:rPr>
        <w:t>.</w:t>
      </w:r>
      <w:r>
        <w:rPr>
          <w:rFonts w:asciiTheme="majorBidi" w:hAnsiTheme="majorBidi" w:cstheme="majorBidi"/>
          <w:sz w:val="20"/>
          <w:szCs w:val="20"/>
        </w:rPr>
        <w:t>1</w:t>
      </w:r>
      <w:r w:rsidRPr="005C4BA3">
        <w:rPr>
          <w:rFonts w:asciiTheme="majorBidi" w:hAnsiTheme="majorBidi" w:cstheme="majorBidi"/>
          <w:sz w:val="20"/>
          <w:szCs w:val="20"/>
        </w:rPr>
        <w:t>0.20</w:t>
      </w:r>
      <w:r>
        <w:rPr>
          <w:rFonts w:asciiTheme="majorBidi" w:hAnsiTheme="majorBidi" w:cstheme="majorBidi"/>
          <w:sz w:val="20"/>
          <w:szCs w:val="20"/>
        </w:rPr>
        <w:t>20</w:t>
      </w:r>
    </w:p>
    <w:p w:rsidR="0081280C" w:rsidRPr="0095060B" w:rsidRDefault="0081280C" w:rsidP="0081280C">
      <w:pPr>
        <w:spacing w:after="0" w:line="360" w:lineRule="auto"/>
        <w:rPr>
          <w:rFonts w:asciiTheme="majorBidi" w:hAnsiTheme="majorBidi" w:cstheme="majorBidi"/>
          <w:noProof/>
          <w:sz w:val="24"/>
          <w:szCs w:val="24"/>
          <w:lang w:eastAsia="fr-FR"/>
        </w:rPr>
      </w:pP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Nom : 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</w:t>
      </w: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                   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</w:t>
      </w: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Prnom:        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</w:t>
      </w:r>
      <w:r w:rsidRPr="0095060B"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             </w:t>
      </w:r>
      <w:r>
        <w:rPr>
          <w:rFonts w:asciiTheme="majorBidi" w:hAnsiTheme="majorBidi" w:cstheme="majorBidi"/>
          <w:noProof/>
          <w:sz w:val="24"/>
          <w:szCs w:val="24"/>
          <w:lang w:eastAsia="fr-FR"/>
        </w:rPr>
        <w:t xml:space="preserve">                        </w:t>
      </w:r>
    </w:p>
    <w:p w:rsidR="0081280C" w:rsidRPr="008922F6" w:rsidRDefault="0081280C" w:rsidP="0081280C">
      <w:pPr>
        <w:spacing w:after="0" w:line="360" w:lineRule="auto"/>
        <w:rPr>
          <w:rFonts w:asciiTheme="majorBidi" w:hAnsiTheme="majorBidi" w:cstheme="majorBidi"/>
          <w:noProof/>
          <w:sz w:val="14"/>
          <w:szCs w:val="14"/>
          <w:lang w:eastAsia="fr-FR"/>
        </w:rPr>
      </w:pPr>
    </w:p>
    <w:p w:rsidR="0081280C" w:rsidRPr="002728F6" w:rsidRDefault="0081280C" w:rsidP="0081280C">
      <w:pPr>
        <w:spacing w:after="120" w:line="360" w:lineRule="auto"/>
        <w:rPr>
          <w:rFonts w:asciiTheme="majorBidi" w:hAnsiTheme="majorBidi" w:cstheme="majorBidi"/>
          <w:b/>
          <w:bCs/>
        </w:rPr>
      </w:pPr>
      <w:r w:rsidRPr="002728F6">
        <w:rPr>
          <w:rFonts w:asciiTheme="majorBidi" w:hAnsiTheme="majorBidi" w:cstheme="majorBidi"/>
          <w:b/>
          <w:bCs/>
        </w:rPr>
        <w:t>II</w:t>
      </w:r>
      <w:r>
        <w:rPr>
          <w:rFonts w:asciiTheme="majorBidi" w:hAnsiTheme="majorBidi" w:cstheme="majorBidi"/>
          <w:b/>
          <w:bCs/>
        </w:rPr>
        <w:t>.</w:t>
      </w:r>
      <w:r w:rsidRPr="002728F6">
        <w:rPr>
          <w:rFonts w:asciiTheme="majorBidi" w:hAnsiTheme="majorBidi" w:cstheme="majorBidi"/>
          <w:b/>
          <w:bCs/>
        </w:rPr>
        <w:t xml:space="preserve"> Répondez aux questions suivantes par Oui  ou  Non.</w:t>
      </w:r>
    </w:p>
    <w:tbl>
      <w:tblPr>
        <w:tblStyle w:val="Grilledutableau"/>
        <w:tblW w:w="9874" w:type="dxa"/>
        <w:jc w:val="center"/>
        <w:tblInd w:w="-331" w:type="dxa"/>
        <w:tblLook w:val="04A0" w:firstRow="1" w:lastRow="0" w:firstColumn="1" w:lastColumn="0" w:noHBand="0" w:noVBand="1"/>
      </w:tblPr>
      <w:tblGrid>
        <w:gridCol w:w="572"/>
        <w:gridCol w:w="8362"/>
        <w:gridCol w:w="940"/>
      </w:tblGrid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A6501" w:rsidRDefault="0081280C" w:rsidP="00076AC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6501">
              <w:rPr>
                <w:rFonts w:asciiTheme="majorBidi" w:hAnsiTheme="majorBidi" w:cstheme="majorBidi"/>
                <w:b/>
                <w:bCs/>
              </w:rPr>
              <w:t>N</w:t>
            </w:r>
          </w:p>
        </w:tc>
        <w:tc>
          <w:tcPr>
            <w:tcW w:w="8362" w:type="dxa"/>
            <w:vAlign w:val="center"/>
          </w:tcPr>
          <w:p w:rsidR="0081280C" w:rsidRPr="000A6501" w:rsidRDefault="0081280C" w:rsidP="00076ACD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65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Questions</w:t>
            </w:r>
          </w:p>
        </w:tc>
        <w:tc>
          <w:tcPr>
            <w:tcW w:w="940" w:type="dxa"/>
          </w:tcPr>
          <w:p w:rsidR="0081280C" w:rsidRPr="000A6501" w:rsidRDefault="0081280C" w:rsidP="00076ACD">
            <w:pPr>
              <w:jc w:val="center"/>
              <w:rPr>
                <w:b/>
                <w:bCs/>
                <w:sz w:val="20"/>
                <w:szCs w:val="20"/>
              </w:rPr>
            </w:pPr>
            <w:r w:rsidRPr="000A6501">
              <w:rPr>
                <w:b/>
                <w:bCs/>
                <w:sz w:val="20"/>
                <w:szCs w:val="20"/>
              </w:rPr>
              <w:t xml:space="preserve">Oui </w:t>
            </w:r>
            <w:r w:rsidRPr="000A6501">
              <w:rPr>
                <w:sz w:val="20"/>
                <w:szCs w:val="20"/>
              </w:rPr>
              <w:t>ou</w:t>
            </w:r>
            <w:r w:rsidRPr="000A6501">
              <w:rPr>
                <w:b/>
                <w:bCs/>
                <w:sz w:val="20"/>
                <w:szCs w:val="20"/>
              </w:rPr>
              <w:t xml:space="preserve"> </w:t>
            </w:r>
          </w:p>
          <w:p w:rsidR="0081280C" w:rsidRPr="000A6501" w:rsidRDefault="0081280C" w:rsidP="00076ACD">
            <w:pPr>
              <w:jc w:val="center"/>
              <w:rPr>
                <w:b/>
                <w:bCs/>
              </w:rPr>
            </w:pPr>
            <w:r w:rsidRPr="000A6501">
              <w:rPr>
                <w:b/>
                <w:bCs/>
                <w:sz w:val="20"/>
                <w:szCs w:val="20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Le taux de distorsion harmonique global  THD  est égal au rapport de la valeur efficace de l’ensemble des courants harmoniques par rapport à la valeur du courant efficace du fondamental.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 xml:space="preserve">La résonance </w:t>
            </w:r>
            <w:r>
              <w:rPr>
                <w:rFonts w:ascii="Times New Roman" w:hAnsi="Times New Roman" w:cs="Times New Roman"/>
              </w:rPr>
              <w:t>parallèle</w:t>
            </w:r>
            <w:r w:rsidRPr="00A10AC7">
              <w:t xml:space="preserve"> </w:t>
            </w:r>
            <w:r w:rsidRPr="00A10AC7">
              <w:rPr>
                <w:rFonts w:ascii="Times New Roman" w:hAnsi="Times New Roman" w:cs="Times New Roman"/>
              </w:rPr>
              <w:t xml:space="preserve">s’exprime par la relation suivante : </w:t>
            </w:r>
            <w:r w:rsidRPr="00A10AC7">
              <w:rPr>
                <w:rFonts w:asciiTheme="majorBidi" w:hAnsiTheme="majorBidi" w:cstheme="majorBidi"/>
                <w:position w:val="-26"/>
              </w:rPr>
              <w:object w:dxaOrig="1280" w:dyaOrig="620">
                <v:shape id="_x0000_i1026" type="#_x0000_t75" style="width:63.85pt;height:31.25pt" o:ole="">
                  <v:imagedata r:id="rId11" o:title=""/>
                </v:shape>
                <o:OLEObject Type="Embed" ProgID="Equation.DSMT4" ShapeID="_x0000_i1026" DrawAspect="Content" ObjectID="_1663993819" r:id="rId12"/>
              </w:object>
            </w:r>
          </w:p>
        </w:tc>
        <w:tc>
          <w:tcPr>
            <w:tcW w:w="940" w:type="dxa"/>
            <w:vAlign w:val="center"/>
          </w:tcPr>
          <w:p w:rsidR="0081280C" w:rsidRDefault="0081280C" w:rsidP="00076ACD">
            <w:pPr>
              <w:jc w:val="center"/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Theme="majorBidi" w:hAnsiTheme="majorBidi" w:cstheme="majorBidi"/>
              </w:rPr>
            </w:pPr>
            <w:r w:rsidRPr="00A10AC7">
              <w:rPr>
                <w:rFonts w:asciiTheme="majorBidi" w:hAnsiTheme="majorBidi" w:cstheme="majorBidi"/>
              </w:rPr>
              <w:t>Les condensateurs sont particulièrement sensibles à la circulation des courants harmoniques du fait que leur impédance proportionnellement au rang élevé des harmoniques.</w:t>
            </w:r>
          </w:p>
        </w:tc>
        <w:tc>
          <w:tcPr>
            <w:tcW w:w="940" w:type="dxa"/>
            <w:vAlign w:val="center"/>
          </w:tcPr>
          <w:p w:rsidR="0081280C" w:rsidRPr="000A6501" w:rsidRDefault="0081280C" w:rsidP="00076ACD">
            <w:pPr>
              <w:jc w:val="center"/>
              <w:rPr>
                <w:b/>
                <w:bCs/>
                <w:sz w:val="20"/>
                <w:szCs w:val="20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94311C" w:rsidRDefault="0081280C" w:rsidP="00076ACD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</w:rPr>
            </w:pPr>
            <w:r w:rsidRPr="003064C1">
              <w:rPr>
                <w:rFonts w:asciiTheme="majorBidi" w:hAnsiTheme="majorBidi" w:cstheme="majorBidi"/>
              </w:rPr>
              <w:t>Les signaux déformés sont la somme de signaux de fréquences différentes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Style w:val="fontstyle01"/>
              </w:rPr>
              <w:t>et d’amplitudes </w:t>
            </w:r>
            <w:r w:rsidRPr="00487BCB">
              <w:rPr>
                <w:rStyle w:val="fontstyle01"/>
              </w:rPr>
              <w:t>égales</w:t>
            </w:r>
            <w:r w:rsidRPr="003064C1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40" w:type="dxa"/>
            <w:vAlign w:val="center"/>
          </w:tcPr>
          <w:p w:rsidR="0081280C" w:rsidRDefault="0081280C" w:rsidP="00076ACD">
            <w:pPr>
              <w:jc w:val="center"/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C4472C">
              <w:rPr>
                <w:rFonts w:ascii="Times New Roman" w:hAnsi="Times New Roman" w:cs="Times New Roman"/>
              </w:rPr>
              <w:t>La cont</w:t>
            </w:r>
            <w:r w:rsidRPr="00C4472C">
              <w:rPr>
                <w:rFonts w:asciiTheme="majorBidi" w:hAnsiTheme="majorBidi" w:cstheme="majorBidi"/>
              </w:rPr>
              <w:t>inuité d’alimentation</w:t>
            </w:r>
            <w:r w:rsidRPr="00A10AC7">
              <w:rPr>
                <w:rFonts w:asciiTheme="majorBidi" w:hAnsiTheme="majorBidi" w:cstheme="majorBidi"/>
              </w:rPr>
              <w:t xml:space="preserve"> recouvre les coupures, ou interruptions, subies par les utilisateurs.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94311C" w:rsidRDefault="0081280C" w:rsidP="00076ACD">
            <w:pPr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3064C1">
              <w:rPr>
                <w:rFonts w:asciiTheme="majorBidi" w:hAnsiTheme="majorBidi" w:cstheme="majorBidi"/>
              </w:rPr>
              <w:t xml:space="preserve">Le rang harmonique </w:t>
            </w:r>
            <w:r>
              <w:rPr>
                <w:rFonts w:asciiTheme="majorBidi" w:hAnsiTheme="majorBidi" w:cstheme="majorBidi"/>
              </w:rPr>
              <w:t>est</w:t>
            </w:r>
            <w:r w:rsidRPr="003064C1">
              <w:rPr>
                <w:rFonts w:asciiTheme="majorBidi" w:hAnsiTheme="majorBidi" w:cstheme="majorBidi"/>
              </w:rPr>
              <w:t xml:space="preserve"> le rapport entre la fréquence de l’harmonique considéré et la fréquence fondamentale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94311C" w:rsidRDefault="0081280C" w:rsidP="00076ACD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</w:rPr>
            </w:pPr>
            <w:r w:rsidRPr="0094311C">
              <w:rPr>
                <w:rFonts w:asciiTheme="majorBidi" w:hAnsiTheme="majorBidi" w:cstheme="majorBidi"/>
              </w:rPr>
              <w:t xml:space="preserve">Le filtre amorti est constitué d’une structure identique au filtre résonant, avec en supplément, une résistance R </w:t>
            </w:r>
            <w:r w:rsidRPr="00A10AC7">
              <w:rPr>
                <w:rFonts w:asciiTheme="majorBidi" w:hAnsiTheme="majorBidi" w:cstheme="majorBidi"/>
              </w:rPr>
              <w:t xml:space="preserve">branchée en </w:t>
            </w:r>
            <w:r>
              <w:rPr>
                <w:rFonts w:asciiTheme="majorBidi" w:hAnsiTheme="majorBidi" w:cstheme="majorBidi"/>
              </w:rPr>
              <w:t>série</w:t>
            </w:r>
            <w:r w:rsidRPr="00A10AC7">
              <w:rPr>
                <w:rFonts w:asciiTheme="majorBidi" w:hAnsiTheme="majorBidi" w:cstheme="majorBidi"/>
              </w:rPr>
              <w:t xml:space="preserve"> sur l’inductance.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highlight w:val="green"/>
              </w:rPr>
            </w:pPr>
            <w:r w:rsidRPr="00C4472C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092BF8" w:rsidRDefault="0081280C" w:rsidP="00076A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092BF8">
              <w:rPr>
                <w:rFonts w:ascii="Times New Roman" w:hAnsi="Times New Roman" w:cs="Times New Roman"/>
              </w:rPr>
              <w:t>Les surtensions de durée inférieure à 1 ms sont appelées surtensions transitoires.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8C4D8F" w:rsidRDefault="0081280C" w:rsidP="00076ACD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  <w:highlight w:val="yellow"/>
              </w:rPr>
            </w:pPr>
            <w:r w:rsidRPr="00FE7A24">
              <w:rPr>
                <w:rFonts w:asciiTheme="majorBidi" w:hAnsiTheme="majorBidi" w:cstheme="majorBidi"/>
              </w:rPr>
              <w:t>Le risque de résonance pouvant se produire, en présence de</w:t>
            </w:r>
            <w:r>
              <w:rPr>
                <w:rFonts w:asciiTheme="majorBidi" w:hAnsiTheme="majorBidi" w:cstheme="majorBidi"/>
              </w:rPr>
              <w:t xml:space="preserve"> l’association de condensateurs, résistances </w:t>
            </w:r>
            <w:r w:rsidRPr="00FE7A24">
              <w:rPr>
                <w:rFonts w:asciiTheme="majorBidi" w:hAnsiTheme="majorBidi" w:cstheme="majorBidi"/>
              </w:rPr>
              <w:t xml:space="preserve">et </w:t>
            </w:r>
            <w:r>
              <w:rPr>
                <w:rFonts w:asciiTheme="majorBidi" w:hAnsiTheme="majorBidi" w:cstheme="majorBidi"/>
              </w:rPr>
              <w:t>d’inductances.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Theme="majorBidi" w:hAnsiTheme="majorBidi" w:cstheme="majorBidi"/>
              </w:rPr>
            </w:pPr>
            <w:r w:rsidRPr="00A10AC7">
              <w:rPr>
                <w:rFonts w:asciiTheme="majorBidi" w:hAnsiTheme="majorBidi" w:cstheme="majorBidi"/>
              </w:rPr>
              <w:t>Un creux de tension est une chute de l’amplitude de la tension en dessous du seuil inférieur de la plage nominale.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Les charges non linéaires produisent des courants déformés dont l’allure sinusoïdale.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092BF8" w:rsidRDefault="0081280C" w:rsidP="00076ACD">
            <w:pPr>
              <w:spacing w:before="120" w:after="120" w:line="276" w:lineRule="auto"/>
              <w:jc w:val="both"/>
              <w:rPr>
                <w:rFonts w:ascii="Times New Roman" w:hAnsi="Times New Roman" w:cs="Times New Roman"/>
              </w:rPr>
            </w:pPr>
            <w:r w:rsidRPr="0094311C">
              <w:rPr>
                <w:rFonts w:asciiTheme="majorBidi" w:hAnsiTheme="majorBidi" w:cstheme="majorBidi"/>
              </w:rPr>
              <w:t xml:space="preserve">Le taux global d’harmonique en tension ne doit pas dépasser </w:t>
            </w:r>
            <w:r>
              <w:rPr>
                <w:rFonts w:asciiTheme="majorBidi" w:hAnsiTheme="majorBidi" w:cstheme="majorBidi"/>
              </w:rPr>
              <w:t>8</w:t>
            </w:r>
            <w:r w:rsidRPr="0094311C">
              <w:rPr>
                <w:rFonts w:asciiTheme="majorBidi" w:hAnsiTheme="majorBidi" w:cstheme="majorBidi"/>
              </w:rPr>
              <w:t xml:space="preserve"> % dans une installation de distribution basse tension.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>La continuité d’alimentation recouvre les perturbations liées à la forme de l’onde de tension délivrée par le réseau,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magenta"/>
              </w:rPr>
            </w:pPr>
            <w:r w:rsidRPr="00FE7A24">
              <w:rPr>
                <w:b/>
                <w:bCs/>
                <w:sz w:val="20"/>
                <w:szCs w:val="20"/>
                <w:highlight w:val="magenta"/>
              </w:rPr>
              <w:t>Non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A10AC7" w:rsidRDefault="0081280C" w:rsidP="00076ACD">
            <w:pPr>
              <w:spacing w:before="120" w:after="120"/>
              <w:jc w:val="both"/>
              <w:rPr>
                <w:rFonts w:ascii="Times New Roman" w:hAnsi="Times New Roman" w:cs="Times New Roman"/>
              </w:rPr>
            </w:pPr>
            <w:r w:rsidRPr="00A10AC7">
              <w:rPr>
                <w:rFonts w:ascii="Times New Roman" w:hAnsi="Times New Roman" w:cs="Times New Roman"/>
              </w:rPr>
              <w:t xml:space="preserve">Les appareils numériques dits RMS réalisent la mesure efficace d’un signal quelle que soit sa forme, sinusoïdal ou bien déformé. 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  <w:tr w:rsidR="0081280C" w:rsidTr="00076ACD">
        <w:trPr>
          <w:jc w:val="center"/>
        </w:trPr>
        <w:tc>
          <w:tcPr>
            <w:tcW w:w="572" w:type="dxa"/>
            <w:vAlign w:val="center"/>
          </w:tcPr>
          <w:p w:rsidR="0081280C" w:rsidRPr="000C199C" w:rsidRDefault="0081280C" w:rsidP="0081280C">
            <w:pPr>
              <w:pStyle w:val="Paragraphedeliste"/>
              <w:numPr>
                <w:ilvl w:val="0"/>
                <w:numId w:val="4"/>
              </w:numPr>
              <w:ind w:left="0" w:firstLine="17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362" w:type="dxa"/>
          </w:tcPr>
          <w:p w:rsidR="0081280C" w:rsidRPr="0094311C" w:rsidRDefault="0081280C" w:rsidP="00076ACD">
            <w:pPr>
              <w:spacing w:before="120" w:after="120" w:line="276" w:lineRule="auto"/>
              <w:jc w:val="both"/>
              <w:rPr>
                <w:rFonts w:asciiTheme="majorBidi" w:hAnsiTheme="majorBidi" w:cstheme="majorBidi"/>
              </w:rPr>
            </w:pPr>
            <w:r w:rsidRPr="00092BF8">
              <w:rPr>
                <w:rFonts w:ascii="Times New Roman" w:hAnsi="Times New Roman" w:cs="Times New Roman"/>
              </w:rPr>
              <w:t>La pollution harmonique générée est ainsi plus ou moins importante suivant la puissance de la charge pollueuse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40" w:type="dxa"/>
            <w:vAlign w:val="center"/>
          </w:tcPr>
          <w:p w:rsidR="0081280C" w:rsidRPr="00FE7A24" w:rsidRDefault="0081280C" w:rsidP="00076ACD">
            <w:pPr>
              <w:jc w:val="center"/>
              <w:rPr>
                <w:highlight w:val="green"/>
              </w:rPr>
            </w:pPr>
            <w:r w:rsidRPr="00FE7A24">
              <w:rPr>
                <w:b/>
                <w:bCs/>
                <w:sz w:val="20"/>
                <w:szCs w:val="20"/>
                <w:highlight w:val="green"/>
              </w:rPr>
              <w:t>Oui</w:t>
            </w:r>
          </w:p>
        </w:tc>
      </w:tr>
    </w:tbl>
    <w:p w:rsidR="0081280C" w:rsidRDefault="0081280C" w:rsidP="00A10AC7">
      <w:bookmarkStart w:id="0" w:name="_GoBack"/>
      <w:bookmarkEnd w:id="0"/>
    </w:p>
    <w:sectPr w:rsidR="0081280C" w:rsidSect="0081280C">
      <w:headerReference w:type="default" r:id="rId13"/>
      <w:footerReference w:type="even" r:id="rId14"/>
      <w:pgSz w:w="11906" w:h="16838" w:code="9"/>
      <w:pgMar w:top="1134" w:right="1134" w:bottom="1134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320" w:rsidRDefault="00192320" w:rsidP="00C152E6">
      <w:pPr>
        <w:spacing w:after="0" w:line="240" w:lineRule="auto"/>
      </w:pPr>
      <w:r>
        <w:separator/>
      </w:r>
    </w:p>
  </w:endnote>
  <w:endnote w:type="continuationSeparator" w:id="0">
    <w:p w:rsidR="00192320" w:rsidRDefault="00192320" w:rsidP="00C15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515831"/>
      <w:docPartObj>
        <w:docPartGallery w:val="Page Numbers (Bottom of Page)"/>
        <w:docPartUnique/>
      </w:docPartObj>
    </w:sdtPr>
    <w:sdtEndPr/>
    <w:sdtContent>
      <w:p w:rsidR="00057068" w:rsidRDefault="00057068">
        <w:pPr>
          <w:pStyle w:val="Pieddepag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28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57068" w:rsidRDefault="0005706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320" w:rsidRDefault="00192320" w:rsidP="00C152E6">
      <w:pPr>
        <w:spacing w:after="0" w:line="240" w:lineRule="auto"/>
      </w:pPr>
      <w:r>
        <w:separator/>
      </w:r>
    </w:p>
  </w:footnote>
  <w:footnote w:type="continuationSeparator" w:id="0">
    <w:p w:rsidR="00192320" w:rsidRDefault="00192320" w:rsidP="00C15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068" w:rsidRPr="0095060B" w:rsidRDefault="00057068" w:rsidP="005C4BA3">
    <w:pPr>
      <w:spacing w:after="0" w:line="360" w:lineRule="auto"/>
      <w:rPr>
        <w:rFonts w:ascii="Times New Roman" w:eastAsia="Times New Roman" w:hAnsi="Times New Roman" w:cs="Times New Roman"/>
        <w:sz w:val="20"/>
        <w:szCs w:val="20"/>
        <w:lang w:bidi="ar-DZ"/>
      </w:rPr>
    </w:pPr>
    <w:r>
      <w:rPr>
        <w:rFonts w:ascii="Times New Roman" w:eastAsia="Times New Roman" w:hAnsi="Times New Roman" w:cs="Times New Roman"/>
        <w:sz w:val="20"/>
        <w:szCs w:val="20"/>
        <w:lang w:bidi="ar-DZ"/>
      </w:rPr>
      <w:t xml:space="preserve">Université </w:t>
    </w:r>
    <w:proofErr w:type="spellStart"/>
    <w:r>
      <w:rPr>
        <w:rFonts w:ascii="Times New Roman" w:eastAsia="Times New Roman" w:hAnsi="Times New Roman" w:cs="Times New Roman"/>
        <w:sz w:val="20"/>
        <w:szCs w:val="20"/>
        <w:lang w:bidi="ar-DZ"/>
      </w:rPr>
      <w:t>Echahid</w:t>
    </w:r>
    <w:proofErr w:type="spellEnd"/>
    <w:r>
      <w:rPr>
        <w:rFonts w:ascii="Times New Roman" w:eastAsia="Times New Roman" w:hAnsi="Times New Roman" w:cs="Times New Roman"/>
        <w:sz w:val="20"/>
        <w:szCs w:val="20"/>
        <w:lang w:bidi="ar-DZ"/>
      </w:rPr>
      <w:t xml:space="preserve"> Hama Lakhdar El-Oued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  <w:t xml:space="preserve">         </w:t>
    </w:r>
    <w:r w:rsidR="005C4BA3">
      <w:rPr>
        <w:rFonts w:ascii="Times New Roman" w:eastAsia="Times New Roman" w:hAnsi="Times New Roman" w:cs="Times New Roman"/>
        <w:sz w:val="20"/>
        <w:szCs w:val="20"/>
        <w:lang w:bidi="ar-DZ"/>
      </w:rPr>
      <w:t xml:space="preserve">   </w:t>
    </w:r>
    <w:r w:rsidRPr="0095060B">
      <w:rPr>
        <w:rFonts w:ascii="Times New Roman" w:eastAsia="Times New Roman" w:hAnsi="Times New Roman" w:cs="Times New Roman"/>
        <w:sz w:val="20"/>
        <w:szCs w:val="20"/>
        <w:lang w:bidi="ar-DZ"/>
      </w:rPr>
      <w:t xml:space="preserve">Faculté 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>de la Technologie</w:t>
    </w:r>
  </w:p>
  <w:p w:rsidR="00057068" w:rsidRDefault="00057068" w:rsidP="003B3A44">
    <w:pPr>
      <w:pStyle w:val="En-tte"/>
      <w:tabs>
        <w:tab w:val="clear" w:pos="4536"/>
        <w:tab w:val="clear" w:pos="9072"/>
        <w:tab w:val="center" w:pos="5245"/>
      </w:tabs>
      <w:rPr>
        <w:rFonts w:ascii="Times New Roman" w:eastAsia="Times New Roman" w:hAnsi="Times New Roman" w:cs="Times New Roman"/>
        <w:sz w:val="20"/>
        <w:szCs w:val="20"/>
        <w:lang w:bidi="ar-DZ"/>
      </w:rPr>
    </w:pPr>
    <w:r w:rsidRPr="0095060B">
      <w:rPr>
        <w:rFonts w:ascii="Times New Roman" w:eastAsia="Times New Roman" w:hAnsi="Times New Roman" w:cs="Times New Roman"/>
        <w:sz w:val="20"/>
        <w:szCs w:val="20"/>
        <w:rtl/>
        <w:lang w:bidi="ar-DZ"/>
      </w:rPr>
      <w:t>1</w:t>
    </w:r>
    <w:r w:rsidRPr="0095060B">
      <w:rPr>
        <w:rFonts w:ascii="Times New Roman" w:eastAsia="Times New Roman" w:hAnsi="Times New Roman" w:cs="Times New Roman"/>
        <w:sz w:val="20"/>
        <w:szCs w:val="20"/>
        <w:vertAlign w:val="superscript"/>
        <w:lang w:bidi="ar-DZ"/>
      </w:rPr>
      <w:t>er</w:t>
    </w:r>
    <w:r w:rsidRPr="0095060B">
      <w:rPr>
        <w:rFonts w:ascii="Times New Roman" w:eastAsia="Times New Roman" w:hAnsi="Times New Roman" w:cs="Times New Roman"/>
        <w:sz w:val="20"/>
        <w:szCs w:val="20"/>
        <w:lang w:bidi="ar-DZ"/>
      </w:rPr>
      <w:t xml:space="preserve"> Master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 xml:space="preserve"> Machines</w:t>
    </w:r>
    <w:r w:rsidR="00F775EA">
      <w:rPr>
        <w:rFonts w:ascii="Times New Roman" w:eastAsia="Times New Roman" w:hAnsi="Times New Roman" w:cs="Times New Roman"/>
        <w:sz w:val="20"/>
        <w:szCs w:val="20"/>
        <w:lang w:bidi="ar-DZ"/>
      </w:rPr>
      <w:t xml:space="preserve"> Electriques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  <w:t xml:space="preserve"> 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ab/>
      <w:t xml:space="preserve">       </w:t>
    </w:r>
    <w:r w:rsidR="005C4BA3">
      <w:rPr>
        <w:rFonts w:ascii="Times New Roman" w:eastAsia="Times New Roman" w:hAnsi="Times New Roman" w:cs="Times New Roman"/>
        <w:sz w:val="20"/>
        <w:szCs w:val="20"/>
        <w:lang w:bidi="ar-DZ"/>
      </w:rPr>
      <w:t xml:space="preserve">  </w:t>
    </w:r>
    <w:r>
      <w:rPr>
        <w:rFonts w:ascii="Times New Roman" w:eastAsia="Times New Roman" w:hAnsi="Times New Roman" w:cs="Times New Roman"/>
        <w:sz w:val="20"/>
        <w:szCs w:val="20"/>
        <w:lang w:bidi="ar-DZ"/>
      </w:rPr>
      <w:t xml:space="preserve">  </w:t>
    </w:r>
    <w:r w:rsidRPr="0095060B">
      <w:rPr>
        <w:rFonts w:ascii="Times New Roman" w:eastAsia="Times New Roman" w:hAnsi="Times New Roman" w:cs="Times New Roman"/>
        <w:sz w:val="20"/>
        <w:szCs w:val="20"/>
        <w:lang w:bidi="ar-DZ"/>
      </w:rPr>
      <w:t xml:space="preserve"> Département d'Electrotechnique</w:t>
    </w:r>
  </w:p>
  <w:p w:rsidR="00057068" w:rsidRDefault="00057068" w:rsidP="003B3A44">
    <w:pPr>
      <w:pStyle w:val="En-tte"/>
      <w:tabs>
        <w:tab w:val="clear" w:pos="4536"/>
        <w:tab w:val="clear" w:pos="9072"/>
        <w:tab w:val="center" w:pos="5245"/>
      </w:tabs>
    </w:pPr>
    <w:r>
      <w:rPr>
        <w:rFonts w:asciiTheme="majorBidi" w:eastAsia="Calibri" w:hAnsiTheme="majorBidi" w:cstheme="majorBidi"/>
        <w:b/>
        <w:bCs/>
        <w:noProof/>
        <w:sz w:val="24"/>
        <w:szCs w:val="24"/>
        <w:rtl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CEF1C3" wp14:editId="701DB93A">
              <wp:simplePos x="0" y="0"/>
              <wp:positionH relativeFrom="column">
                <wp:posOffset>24130</wp:posOffset>
              </wp:positionH>
              <wp:positionV relativeFrom="paragraph">
                <wp:posOffset>70485</wp:posOffset>
              </wp:positionV>
              <wp:extent cx="6048000" cy="0"/>
              <wp:effectExtent l="0" t="0" r="29210" b="1905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80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33DD13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9pt;margin-top:5.55pt;width:476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hOu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0C4E"/>
    <w:multiLevelType w:val="hybridMultilevel"/>
    <w:tmpl w:val="EE12C7D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A6DA7"/>
    <w:multiLevelType w:val="hybridMultilevel"/>
    <w:tmpl w:val="EE12C7DC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4015A"/>
    <w:multiLevelType w:val="hybridMultilevel"/>
    <w:tmpl w:val="BC06D6C2"/>
    <w:lvl w:ilvl="0" w:tplc="E66C7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78021F1"/>
    <w:multiLevelType w:val="hybridMultilevel"/>
    <w:tmpl w:val="86CA5D64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0F">
      <w:start w:val="1"/>
      <w:numFmt w:val="decimal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66B"/>
    <w:rsid w:val="0001504B"/>
    <w:rsid w:val="00047537"/>
    <w:rsid w:val="00047894"/>
    <w:rsid w:val="000512ED"/>
    <w:rsid w:val="00057068"/>
    <w:rsid w:val="00062658"/>
    <w:rsid w:val="00092BF8"/>
    <w:rsid w:val="000A6501"/>
    <w:rsid w:val="000C199C"/>
    <w:rsid w:val="000F3D0A"/>
    <w:rsid w:val="00106AC5"/>
    <w:rsid w:val="0011465C"/>
    <w:rsid w:val="00132A1C"/>
    <w:rsid w:val="00142CDA"/>
    <w:rsid w:val="001473EF"/>
    <w:rsid w:val="00170F8F"/>
    <w:rsid w:val="0018259C"/>
    <w:rsid w:val="001855D1"/>
    <w:rsid w:val="00192320"/>
    <w:rsid w:val="001F3514"/>
    <w:rsid w:val="00200B8C"/>
    <w:rsid w:val="00225345"/>
    <w:rsid w:val="00231526"/>
    <w:rsid w:val="00255FE5"/>
    <w:rsid w:val="002728F6"/>
    <w:rsid w:val="002B5A01"/>
    <w:rsid w:val="002E59FA"/>
    <w:rsid w:val="003064C1"/>
    <w:rsid w:val="00310BCB"/>
    <w:rsid w:val="003221D7"/>
    <w:rsid w:val="00325B45"/>
    <w:rsid w:val="003A6145"/>
    <w:rsid w:val="003B3A44"/>
    <w:rsid w:val="003C28CD"/>
    <w:rsid w:val="00467A79"/>
    <w:rsid w:val="00487BCB"/>
    <w:rsid w:val="00495C33"/>
    <w:rsid w:val="004A2738"/>
    <w:rsid w:val="004A4247"/>
    <w:rsid w:val="00553983"/>
    <w:rsid w:val="0055676F"/>
    <w:rsid w:val="00556E25"/>
    <w:rsid w:val="005C4BA3"/>
    <w:rsid w:val="00627159"/>
    <w:rsid w:val="00657D1E"/>
    <w:rsid w:val="006B5E92"/>
    <w:rsid w:val="006D166B"/>
    <w:rsid w:val="006D7449"/>
    <w:rsid w:val="006F177B"/>
    <w:rsid w:val="006F24E8"/>
    <w:rsid w:val="006F500A"/>
    <w:rsid w:val="00716417"/>
    <w:rsid w:val="00732E57"/>
    <w:rsid w:val="007434B4"/>
    <w:rsid w:val="00752CDF"/>
    <w:rsid w:val="00762512"/>
    <w:rsid w:val="00793A6F"/>
    <w:rsid w:val="007A677B"/>
    <w:rsid w:val="007C2773"/>
    <w:rsid w:val="0081280C"/>
    <w:rsid w:val="00822330"/>
    <w:rsid w:val="00831A9A"/>
    <w:rsid w:val="00871D41"/>
    <w:rsid w:val="008922F6"/>
    <w:rsid w:val="008B3FF5"/>
    <w:rsid w:val="008C4D8F"/>
    <w:rsid w:val="008F69F4"/>
    <w:rsid w:val="0094311C"/>
    <w:rsid w:val="00965789"/>
    <w:rsid w:val="00984BAD"/>
    <w:rsid w:val="00A10AC7"/>
    <w:rsid w:val="00A36AA1"/>
    <w:rsid w:val="00A375C9"/>
    <w:rsid w:val="00A433C5"/>
    <w:rsid w:val="00A523A9"/>
    <w:rsid w:val="00A94980"/>
    <w:rsid w:val="00AB5C4F"/>
    <w:rsid w:val="00AE6468"/>
    <w:rsid w:val="00B50DB4"/>
    <w:rsid w:val="00B6474B"/>
    <w:rsid w:val="00B654B8"/>
    <w:rsid w:val="00B8016E"/>
    <w:rsid w:val="00BC3F24"/>
    <w:rsid w:val="00BF392C"/>
    <w:rsid w:val="00C152E6"/>
    <w:rsid w:val="00C35D68"/>
    <w:rsid w:val="00C454CA"/>
    <w:rsid w:val="00CD1555"/>
    <w:rsid w:val="00D2339E"/>
    <w:rsid w:val="00D26E3B"/>
    <w:rsid w:val="00D65F85"/>
    <w:rsid w:val="00D66E69"/>
    <w:rsid w:val="00D712CA"/>
    <w:rsid w:val="00DA1D5B"/>
    <w:rsid w:val="00DD10D0"/>
    <w:rsid w:val="00DE4787"/>
    <w:rsid w:val="00E12F3B"/>
    <w:rsid w:val="00E135A8"/>
    <w:rsid w:val="00E5229A"/>
    <w:rsid w:val="00EB7F79"/>
    <w:rsid w:val="00F51E4D"/>
    <w:rsid w:val="00F775EA"/>
    <w:rsid w:val="00FB1EF4"/>
    <w:rsid w:val="00FE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1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52E6"/>
  </w:style>
  <w:style w:type="paragraph" w:styleId="Pieddepage">
    <w:name w:val="footer"/>
    <w:basedOn w:val="Normal"/>
    <w:link w:val="PieddepageCar"/>
    <w:uiPriority w:val="99"/>
    <w:unhideWhenUsed/>
    <w:rsid w:val="00C1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52E6"/>
  </w:style>
  <w:style w:type="table" w:styleId="Grilledutableau">
    <w:name w:val="Table Grid"/>
    <w:basedOn w:val="TableauNormal"/>
    <w:uiPriority w:val="59"/>
    <w:rsid w:val="002E59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55FE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3C5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Policepardfaut"/>
    <w:rsid w:val="00487BCB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1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152E6"/>
  </w:style>
  <w:style w:type="paragraph" w:styleId="Pieddepage">
    <w:name w:val="footer"/>
    <w:basedOn w:val="Normal"/>
    <w:link w:val="PieddepageCar"/>
    <w:uiPriority w:val="99"/>
    <w:unhideWhenUsed/>
    <w:rsid w:val="00C15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152E6"/>
  </w:style>
  <w:style w:type="table" w:styleId="Grilledutableau">
    <w:name w:val="Table Grid"/>
    <w:basedOn w:val="TableauNormal"/>
    <w:uiPriority w:val="59"/>
    <w:rsid w:val="002E59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255FE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A43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433C5"/>
    <w:rPr>
      <w:rFonts w:ascii="Segoe UI" w:hAnsi="Segoe UI" w:cs="Segoe UI"/>
      <w:sz w:val="18"/>
      <w:szCs w:val="18"/>
    </w:rPr>
  </w:style>
  <w:style w:type="character" w:customStyle="1" w:styleId="fontstyle01">
    <w:name w:val="fontstyle01"/>
    <w:basedOn w:val="Policepardfaut"/>
    <w:rsid w:val="00487BCB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48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676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Ridha_2017</dc:creator>
  <cp:lastModifiedBy>user</cp:lastModifiedBy>
  <cp:revision>9</cp:revision>
  <cp:lastPrinted>2019-06-15T07:46:00Z</cp:lastPrinted>
  <dcterms:created xsi:type="dcterms:W3CDTF">2020-10-01T06:27:00Z</dcterms:created>
  <dcterms:modified xsi:type="dcterms:W3CDTF">2020-10-12T06:44:00Z</dcterms:modified>
</cp:coreProperties>
</file>